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09305" w14:textId="77777777" w:rsidR="003144B0" w:rsidRDefault="003144B0" w:rsidP="003144B0">
      <w:pPr>
        <w:rPr>
          <w:rFonts w:ascii="Helvetica" w:hAnsi="Helvetica" w:cs="Helvetica"/>
          <w:color w:val="000000"/>
          <w:sz w:val="20"/>
          <w:szCs w:val="20"/>
        </w:rPr>
      </w:pPr>
    </w:p>
    <w:p w14:paraId="59265308" w14:textId="77777777" w:rsidR="003144B0" w:rsidRPr="003144B0" w:rsidRDefault="003144B0" w:rsidP="003144B0">
      <w:pPr>
        <w:spacing w:after="0" w:line="240" w:lineRule="auto"/>
        <w:ind w:right="45"/>
        <w:outlineLvl w:val="2"/>
        <w:rPr>
          <w:rFonts w:ascii="Helvetica" w:eastAsia="Times New Roman" w:hAnsi="Helvetica" w:cs="Helvetica"/>
          <w:b/>
          <w:bCs/>
          <w:color w:val="002855"/>
          <w:sz w:val="24"/>
          <w:szCs w:val="24"/>
        </w:rPr>
      </w:pPr>
      <w:hyperlink r:id="rId5" w:history="1">
        <w:r w:rsidRPr="003144B0">
          <w:rPr>
            <w:rFonts w:ascii="Helvetica" w:eastAsia="Times New Roman" w:hAnsi="Helvetica" w:cs="Helvetica"/>
            <w:b/>
            <w:bCs/>
            <w:color w:val="002855"/>
            <w:sz w:val="24"/>
            <w:szCs w:val="24"/>
            <w:u w:val="single"/>
            <w:bdr w:val="none" w:sz="0" w:space="0" w:color="auto" w:frame="1"/>
          </w:rPr>
          <w:t>Unit IV PowerPoint Presentation</w:t>
        </w:r>
      </w:hyperlink>
      <w:r w:rsidRPr="003144B0">
        <w:rPr>
          <w:rFonts w:ascii="Helvetica" w:eastAsia="Times New Roman" w:hAnsi="Helvetica" w:cs="Helvetica"/>
          <w:b/>
          <w:bCs/>
          <w:color w:val="002855"/>
          <w:sz w:val="24"/>
          <w:szCs w:val="24"/>
        </w:rPr>
        <w:t xml:space="preserve"> </w:t>
      </w:r>
    </w:p>
    <w:p w14:paraId="2E4C4AE6" w14:textId="77777777" w:rsidR="003144B0" w:rsidRPr="003144B0" w:rsidRDefault="003144B0" w:rsidP="003144B0">
      <w:pPr>
        <w:numPr>
          <w:ilvl w:val="0"/>
          <w:numId w:val="4"/>
        </w:numPr>
        <w:spacing w:after="0" w:line="240" w:lineRule="auto"/>
        <w:ind w:left="0"/>
        <w:rPr>
          <w:rFonts w:ascii="Helvetica" w:eastAsia="Times New Roman" w:hAnsi="Helvetica" w:cs="Helvetica"/>
          <w:color w:val="333333"/>
          <w:sz w:val="21"/>
          <w:szCs w:val="21"/>
        </w:rPr>
      </w:pPr>
      <w:r w:rsidRPr="003144B0">
        <w:rPr>
          <w:rFonts w:ascii="Helvetica" w:eastAsia="Times New Roman" w:hAnsi="Helvetica" w:cs="Helvetica"/>
          <w:b/>
          <w:bCs/>
          <w:color w:val="333333"/>
          <w:sz w:val="21"/>
          <w:szCs w:val="21"/>
        </w:rPr>
        <w:t>Weight:</w:t>
      </w:r>
      <w:r w:rsidRPr="003144B0">
        <w:rPr>
          <w:rFonts w:ascii="Helvetica" w:eastAsia="Times New Roman" w:hAnsi="Helvetica" w:cs="Helvetica"/>
          <w:color w:val="333333"/>
          <w:sz w:val="21"/>
          <w:szCs w:val="21"/>
        </w:rPr>
        <w:t xml:space="preserve"> 11% of course grade</w:t>
      </w:r>
    </w:p>
    <w:p w14:paraId="3FE23019" w14:textId="77777777" w:rsidR="003144B0" w:rsidRPr="003144B0" w:rsidRDefault="003144B0" w:rsidP="003144B0">
      <w:pPr>
        <w:numPr>
          <w:ilvl w:val="0"/>
          <w:numId w:val="4"/>
        </w:numPr>
        <w:spacing w:after="0" w:line="240" w:lineRule="auto"/>
        <w:ind w:left="0"/>
        <w:rPr>
          <w:rFonts w:ascii="Helvetica" w:eastAsia="Times New Roman" w:hAnsi="Helvetica" w:cs="Helvetica"/>
          <w:color w:val="333333"/>
          <w:sz w:val="21"/>
          <w:szCs w:val="21"/>
        </w:rPr>
      </w:pPr>
      <w:hyperlink r:id="rId6" w:anchor="grading-rubric" w:tooltip="Unit IV PowerPoint Presentation Grading Rubric" w:history="1">
        <w:r w:rsidRPr="003144B0">
          <w:rPr>
            <w:rFonts w:ascii="Helvetica" w:eastAsia="Times New Roman" w:hAnsi="Helvetica" w:cs="Helvetica"/>
            <w:b/>
            <w:bCs/>
            <w:color w:val="002855"/>
            <w:sz w:val="21"/>
            <w:szCs w:val="21"/>
            <w:bdr w:val="none" w:sz="0" w:space="0" w:color="auto" w:frame="1"/>
          </w:rPr>
          <w:t>Grading Rubric</w:t>
        </w:r>
      </w:hyperlink>
    </w:p>
    <w:p w14:paraId="635C010D" w14:textId="77777777" w:rsidR="003144B0" w:rsidRPr="003144B0" w:rsidRDefault="003144B0" w:rsidP="003144B0">
      <w:pPr>
        <w:spacing w:after="0" w:line="231" w:lineRule="atLeast"/>
        <w:outlineLvl w:val="4"/>
        <w:rPr>
          <w:rFonts w:ascii="Helvetica" w:eastAsia="Times New Roman" w:hAnsi="Helvetica" w:cs="Helvetica"/>
          <w:b/>
          <w:bCs/>
          <w:color w:val="555555"/>
          <w:sz w:val="21"/>
          <w:szCs w:val="21"/>
        </w:rPr>
      </w:pPr>
      <w:r w:rsidRPr="003144B0">
        <w:rPr>
          <w:rFonts w:ascii="Helvetica" w:eastAsia="Times New Roman" w:hAnsi="Helvetica" w:cs="Helvetica"/>
          <w:b/>
          <w:bCs/>
          <w:color w:val="555555"/>
          <w:sz w:val="21"/>
          <w:szCs w:val="21"/>
        </w:rPr>
        <w:t>Instructions</w:t>
      </w:r>
    </w:p>
    <w:p w14:paraId="5BA144FC" w14:textId="77777777" w:rsidR="003144B0" w:rsidRPr="003144B0" w:rsidRDefault="003144B0" w:rsidP="003144B0">
      <w:pPr>
        <w:spacing w:after="0" w:line="240" w:lineRule="auto"/>
        <w:rPr>
          <w:rFonts w:ascii="Helvetica" w:eastAsia="Times New Roman" w:hAnsi="Helvetica" w:cs="Helvetica"/>
          <w:color w:val="333333"/>
          <w:sz w:val="21"/>
          <w:szCs w:val="21"/>
        </w:rPr>
      </w:pPr>
      <w:r w:rsidRPr="003144B0">
        <w:rPr>
          <w:rFonts w:ascii="Helvetica" w:eastAsia="Times New Roman" w:hAnsi="Helvetica" w:cs="Helvetica"/>
          <w:color w:val="333333"/>
          <w:sz w:val="21"/>
          <w:szCs w:val="21"/>
          <w:u w:val="single"/>
        </w:rPr>
        <w:t>Compensation Strategy for Knowledge Workers</w:t>
      </w:r>
      <w:r w:rsidRPr="003144B0">
        <w:rPr>
          <w:rFonts w:ascii="Helvetica" w:eastAsia="Times New Roman" w:hAnsi="Helvetica" w:cs="Helvetica"/>
          <w:color w:val="333333"/>
          <w:sz w:val="21"/>
          <w:szCs w:val="21"/>
        </w:rPr>
        <w:t xml:space="preserve"> </w:t>
      </w:r>
    </w:p>
    <w:p w14:paraId="54E05BA6" w14:textId="77777777" w:rsidR="003144B0" w:rsidRPr="003144B0" w:rsidRDefault="003144B0" w:rsidP="003144B0">
      <w:pPr>
        <w:spacing w:after="0" w:line="240" w:lineRule="auto"/>
        <w:rPr>
          <w:rFonts w:ascii="Helvetica" w:eastAsia="Times New Roman" w:hAnsi="Helvetica" w:cs="Helvetica"/>
          <w:color w:val="333333"/>
          <w:sz w:val="21"/>
          <w:szCs w:val="21"/>
        </w:rPr>
      </w:pPr>
      <w:r w:rsidRPr="003144B0">
        <w:rPr>
          <w:rFonts w:ascii="Helvetica" w:eastAsia="Times New Roman" w:hAnsi="Helvetica" w:cs="Helvetica"/>
          <w:color w:val="333333"/>
          <w:sz w:val="21"/>
          <w:szCs w:val="21"/>
        </w:rPr>
        <w:t xml:space="preserve">To prepare for this assignment, review Waring’s article about employee compensation, which is also listed in the required reading section of the Unit IV Study Guide. Note: both </w:t>
      </w:r>
      <w:proofErr w:type="gramStart"/>
      <w:r w:rsidRPr="003144B0">
        <w:rPr>
          <w:rFonts w:ascii="Helvetica" w:eastAsia="Times New Roman" w:hAnsi="Helvetica" w:cs="Helvetica"/>
          <w:color w:val="333333"/>
          <w:sz w:val="21"/>
          <w:szCs w:val="21"/>
        </w:rPr>
        <w:t>links</w:t>
      </w:r>
      <w:proofErr w:type="gramEnd"/>
      <w:r w:rsidRPr="003144B0">
        <w:rPr>
          <w:rFonts w:ascii="Helvetica" w:eastAsia="Times New Roman" w:hAnsi="Helvetica" w:cs="Helvetica"/>
          <w:color w:val="333333"/>
          <w:sz w:val="21"/>
          <w:szCs w:val="21"/>
        </w:rPr>
        <w:t xml:space="preserve"> contain the same information; only one needs to be reviewed. </w:t>
      </w:r>
    </w:p>
    <w:p w14:paraId="3E28E2EB" w14:textId="77777777" w:rsidR="003144B0" w:rsidRPr="003144B0" w:rsidRDefault="003144B0" w:rsidP="003144B0">
      <w:pPr>
        <w:spacing w:after="0" w:line="240" w:lineRule="auto"/>
        <w:ind w:left="720" w:hanging="720"/>
        <w:rPr>
          <w:rFonts w:ascii="Helvetica" w:eastAsia="Times New Roman" w:hAnsi="Helvetica" w:cs="Helvetica"/>
          <w:color w:val="333333"/>
          <w:sz w:val="21"/>
          <w:szCs w:val="21"/>
        </w:rPr>
      </w:pPr>
      <w:r w:rsidRPr="003144B0">
        <w:rPr>
          <w:rFonts w:ascii="Helvetica" w:eastAsia="Times New Roman" w:hAnsi="Helvetica" w:cs="Helvetica"/>
          <w:color w:val="333333"/>
          <w:sz w:val="21"/>
          <w:szCs w:val="21"/>
        </w:rPr>
        <w:t xml:space="preserve">Waring, D. (2013). How to design an employee compensation plan [SlideShare slides]. Retrieved from </w:t>
      </w:r>
      <w:hyperlink r:id="rId7" w:history="1">
        <w:r w:rsidRPr="003144B0">
          <w:rPr>
            <w:rFonts w:ascii="Helvetica" w:eastAsia="Times New Roman" w:hAnsi="Helvetica" w:cs="Helvetica"/>
            <w:b/>
            <w:bCs/>
            <w:color w:val="002855"/>
            <w:sz w:val="21"/>
            <w:szCs w:val="21"/>
            <w:bdr w:val="none" w:sz="0" w:space="0" w:color="auto" w:frame="1"/>
          </w:rPr>
          <w:t>http://www.slideshare.net/FitSmallBusiness/how-to-design-a-compensation-plan-dave?ref=http://fitsmallbusiness.com/how-to-pay-employees/</w:t>
        </w:r>
      </w:hyperlink>
      <w:r w:rsidRPr="003144B0">
        <w:rPr>
          <w:rFonts w:ascii="Helvetica" w:eastAsia="Times New Roman" w:hAnsi="Helvetica" w:cs="Helvetica"/>
          <w:color w:val="333333"/>
          <w:sz w:val="21"/>
          <w:szCs w:val="21"/>
        </w:rPr>
        <w:t xml:space="preserve"> </w:t>
      </w:r>
    </w:p>
    <w:p w14:paraId="419635A0" w14:textId="77777777" w:rsidR="003144B0" w:rsidRPr="003144B0" w:rsidRDefault="003144B0" w:rsidP="003144B0">
      <w:pPr>
        <w:spacing w:after="0" w:line="240" w:lineRule="auto"/>
        <w:ind w:left="720" w:hanging="720"/>
        <w:rPr>
          <w:rFonts w:ascii="Helvetica" w:eastAsia="Times New Roman" w:hAnsi="Helvetica" w:cs="Helvetica"/>
          <w:color w:val="333333"/>
          <w:sz w:val="21"/>
          <w:szCs w:val="21"/>
        </w:rPr>
      </w:pPr>
      <w:r w:rsidRPr="003144B0">
        <w:rPr>
          <w:rFonts w:ascii="Helvetica" w:eastAsia="Times New Roman" w:hAnsi="Helvetica" w:cs="Helvetica"/>
          <w:color w:val="333333"/>
          <w:sz w:val="21"/>
          <w:szCs w:val="21"/>
        </w:rPr>
        <w:t xml:space="preserve">Waring, D. (2013). How to pay employees – The ultimate guide. Retrieved from </w:t>
      </w:r>
      <w:hyperlink r:id="rId8" w:history="1">
        <w:r w:rsidRPr="003144B0">
          <w:rPr>
            <w:rFonts w:ascii="Helvetica" w:eastAsia="Times New Roman" w:hAnsi="Helvetica" w:cs="Helvetica"/>
            <w:b/>
            <w:bCs/>
            <w:color w:val="002855"/>
            <w:sz w:val="21"/>
            <w:szCs w:val="21"/>
            <w:bdr w:val="none" w:sz="0" w:space="0" w:color="auto" w:frame="1"/>
          </w:rPr>
          <w:t>http://fitsmallbusiness.com/how-to-pay-employees/</w:t>
        </w:r>
      </w:hyperlink>
      <w:r w:rsidRPr="003144B0">
        <w:rPr>
          <w:rFonts w:ascii="Helvetica" w:eastAsia="Times New Roman" w:hAnsi="Helvetica" w:cs="Helvetica"/>
          <w:color w:val="333333"/>
          <w:sz w:val="21"/>
          <w:szCs w:val="21"/>
        </w:rPr>
        <w:t xml:space="preserve"> </w:t>
      </w:r>
    </w:p>
    <w:p w14:paraId="3A941650" w14:textId="77777777" w:rsidR="003144B0" w:rsidRPr="003144B0" w:rsidRDefault="003144B0" w:rsidP="003144B0">
      <w:pPr>
        <w:spacing w:after="0" w:line="240" w:lineRule="auto"/>
        <w:rPr>
          <w:rFonts w:ascii="Helvetica" w:eastAsia="Times New Roman" w:hAnsi="Helvetica" w:cs="Helvetica"/>
          <w:color w:val="333333"/>
          <w:sz w:val="21"/>
          <w:szCs w:val="21"/>
        </w:rPr>
      </w:pPr>
      <w:r w:rsidRPr="003144B0">
        <w:rPr>
          <w:rFonts w:ascii="Helvetica" w:eastAsia="Times New Roman" w:hAnsi="Helvetica" w:cs="Helvetica"/>
          <w:color w:val="333333"/>
          <w:sz w:val="21"/>
          <w:szCs w:val="21"/>
        </w:rPr>
        <w:t xml:space="preserve">You are the director of compensation for a midsized organization. Prepare a PowerPoint presentation that justifies the implementation of a new compensation strategy that will support the motivational needs of knowledge workers and reinforce the real-time performance appraisal system that the organization has embraced. While your goal is to retain, motivate, and grow the current workforce of multi-generational knowledge workers, you must also justify to your senior management that this compensation strategy is competitive in the marketplace. </w:t>
      </w:r>
    </w:p>
    <w:p w14:paraId="5E28D713" w14:textId="77777777" w:rsidR="003144B0" w:rsidRPr="003144B0" w:rsidRDefault="003144B0" w:rsidP="003144B0">
      <w:pPr>
        <w:spacing w:after="0" w:line="240" w:lineRule="auto"/>
        <w:rPr>
          <w:rFonts w:ascii="Helvetica" w:eastAsia="Times New Roman" w:hAnsi="Helvetica" w:cs="Helvetica"/>
          <w:color w:val="333333"/>
          <w:sz w:val="21"/>
          <w:szCs w:val="21"/>
        </w:rPr>
      </w:pPr>
      <w:r w:rsidRPr="003144B0">
        <w:rPr>
          <w:rFonts w:ascii="Helvetica" w:eastAsia="Times New Roman" w:hAnsi="Helvetica" w:cs="Helvetica"/>
          <w:color w:val="333333"/>
          <w:sz w:val="21"/>
          <w:szCs w:val="21"/>
        </w:rPr>
        <w:t xml:space="preserve">Your presentation should describe a compensation program for knowledge workers. The title of the knowledge worker’s position is entirely up to you (e.g., sales executive I, systems engineer III, etc.). You may use various sources (including the lesson materials), but you must use at least one additional resource from the CSU Online Library. Include a reference slide, and cite any sources used in proper APA format. Your presentation should be </w:t>
      </w:r>
      <w:r w:rsidRPr="003144B0">
        <w:rPr>
          <w:rFonts w:ascii="Helvetica" w:eastAsia="Times New Roman" w:hAnsi="Helvetica" w:cs="Helvetica"/>
          <w:b/>
          <w:color w:val="333333"/>
          <w:sz w:val="21"/>
          <w:szCs w:val="21"/>
        </w:rPr>
        <w:t>a minimum of 12 slides in length</w:t>
      </w:r>
      <w:r w:rsidRPr="003144B0">
        <w:rPr>
          <w:rFonts w:ascii="Helvetica" w:eastAsia="Times New Roman" w:hAnsi="Helvetica" w:cs="Helvetica"/>
          <w:color w:val="333333"/>
          <w:sz w:val="21"/>
          <w:szCs w:val="21"/>
        </w:rPr>
        <w:t xml:space="preserve">—not counting the title and reference slides. You may also use the slide notes function to explain slide contents as necessary, but this is not required. </w:t>
      </w:r>
    </w:p>
    <w:p w14:paraId="5FCFCFD6" w14:textId="77777777" w:rsidR="003144B0" w:rsidRPr="003144B0" w:rsidRDefault="003144B0" w:rsidP="003144B0">
      <w:pPr>
        <w:spacing w:after="0" w:line="240" w:lineRule="auto"/>
        <w:rPr>
          <w:rFonts w:ascii="Helvetica" w:eastAsia="Times New Roman" w:hAnsi="Helvetica" w:cs="Helvetica"/>
          <w:color w:val="333333"/>
          <w:sz w:val="21"/>
          <w:szCs w:val="21"/>
        </w:rPr>
      </w:pPr>
      <w:r w:rsidRPr="003144B0">
        <w:rPr>
          <w:rFonts w:ascii="Helvetica" w:eastAsia="Times New Roman" w:hAnsi="Helvetica" w:cs="Helvetica"/>
          <w:color w:val="333333"/>
          <w:sz w:val="21"/>
          <w:szCs w:val="21"/>
        </w:rPr>
        <w:t xml:space="preserve">Be sure to address the questions below in your presentation. </w:t>
      </w:r>
    </w:p>
    <w:p w14:paraId="42654013" w14:textId="77777777" w:rsidR="003144B0" w:rsidRPr="003144B0" w:rsidRDefault="003144B0" w:rsidP="003144B0">
      <w:pPr>
        <w:numPr>
          <w:ilvl w:val="0"/>
          <w:numId w:val="5"/>
        </w:numPr>
        <w:spacing w:after="0" w:line="240" w:lineRule="auto"/>
        <w:ind w:left="0"/>
        <w:rPr>
          <w:rFonts w:ascii="Helvetica" w:eastAsia="Times New Roman" w:hAnsi="Helvetica" w:cs="Helvetica"/>
          <w:color w:val="333333"/>
          <w:sz w:val="21"/>
          <w:szCs w:val="21"/>
        </w:rPr>
      </w:pPr>
      <w:r w:rsidRPr="003144B0">
        <w:rPr>
          <w:rFonts w:ascii="Helvetica" w:eastAsia="Times New Roman" w:hAnsi="Helvetica" w:cs="Helvetica"/>
          <w:color w:val="333333"/>
          <w:sz w:val="21"/>
          <w:szCs w:val="21"/>
        </w:rPr>
        <w:t xml:space="preserve">What is the compensation strategy being proposed? </w:t>
      </w:r>
    </w:p>
    <w:p w14:paraId="4157F1FE" w14:textId="77777777" w:rsidR="003144B0" w:rsidRPr="003144B0" w:rsidRDefault="003144B0" w:rsidP="003144B0">
      <w:pPr>
        <w:numPr>
          <w:ilvl w:val="0"/>
          <w:numId w:val="5"/>
        </w:numPr>
        <w:spacing w:after="0" w:line="240" w:lineRule="auto"/>
        <w:ind w:left="0"/>
        <w:rPr>
          <w:rFonts w:ascii="Helvetica" w:eastAsia="Times New Roman" w:hAnsi="Helvetica" w:cs="Helvetica"/>
          <w:color w:val="333333"/>
          <w:sz w:val="21"/>
          <w:szCs w:val="21"/>
        </w:rPr>
      </w:pPr>
      <w:r w:rsidRPr="003144B0">
        <w:rPr>
          <w:rFonts w:ascii="Helvetica" w:eastAsia="Times New Roman" w:hAnsi="Helvetica" w:cs="Helvetica"/>
          <w:color w:val="333333"/>
          <w:sz w:val="21"/>
          <w:szCs w:val="21"/>
        </w:rPr>
        <w:t xml:space="preserve">Did employees provide input? </w:t>
      </w:r>
    </w:p>
    <w:p w14:paraId="65EB75FD" w14:textId="77777777" w:rsidR="003144B0" w:rsidRPr="003144B0" w:rsidRDefault="003144B0" w:rsidP="003144B0">
      <w:pPr>
        <w:numPr>
          <w:ilvl w:val="0"/>
          <w:numId w:val="5"/>
        </w:numPr>
        <w:spacing w:after="0" w:line="240" w:lineRule="auto"/>
        <w:ind w:left="0"/>
        <w:rPr>
          <w:rFonts w:ascii="Helvetica" w:eastAsia="Times New Roman" w:hAnsi="Helvetica" w:cs="Helvetica"/>
          <w:color w:val="333333"/>
          <w:sz w:val="21"/>
          <w:szCs w:val="21"/>
        </w:rPr>
      </w:pPr>
      <w:r w:rsidRPr="003144B0">
        <w:rPr>
          <w:rFonts w:ascii="Helvetica" w:eastAsia="Times New Roman" w:hAnsi="Helvetica" w:cs="Helvetica"/>
          <w:color w:val="333333"/>
          <w:sz w:val="21"/>
          <w:szCs w:val="21"/>
        </w:rPr>
        <w:t xml:space="preserve">Who else provided input? </w:t>
      </w:r>
    </w:p>
    <w:p w14:paraId="151A4726" w14:textId="77777777" w:rsidR="003144B0" w:rsidRPr="003144B0" w:rsidRDefault="003144B0" w:rsidP="003144B0">
      <w:pPr>
        <w:numPr>
          <w:ilvl w:val="0"/>
          <w:numId w:val="5"/>
        </w:numPr>
        <w:spacing w:after="0" w:line="240" w:lineRule="auto"/>
        <w:ind w:left="0"/>
        <w:rPr>
          <w:rFonts w:ascii="Helvetica" w:eastAsia="Times New Roman" w:hAnsi="Helvetica" w:cs="Helvetica"/>
          <w:color w:val="333333"/>
          <w:sz w:val="21"/>
          <w:szCs w:val="21"/>
        </w:rPr>
      </w:pPr>
      <w:r w:rsidRPr="003144B0">
        <w:rPr>
          <w:rFonts w:ascii="Helvetica" w:eastAsia="Times New Roman" w:hAnsi="Helvetica" w:cs="Helvetica"/>
          <w:color w:val="333333"/>
          <w:sz w:val="21"/>
          <w:szCs w:val="21"/>
        </w:rPr>
        <w:t xml:space="preserve">What incentives are included in the plan? How will it motivate the employees? </w:t>
      </w:r>
    </w:p>
    <w:p w14:paraId="2C284749" w14:textId="77777777" w:rsidR="003144B0" w:rsidRPr="003144B0" w:rsidRDefault="003144B0" w:rsidP="003144B0">
      <w:pPr>
        <w:numPr>
          <w:ilvl w:val="0"/>
          <w:numId w:val="5"/>
        </w:numPr>
        <w:spacing w:after="0" w:line="240" w:lineRule="auto"/>
        <w:ind w:left="0"/>
        <w:rPr>
          <w:rFonts w:ascii="Helvetica" w:eastAsia="Times New Roman" w:hAnsi="Helvetica" w:cs="Helvetica"/>
          <w:color w:val="333333"/>
          <w:sz w:val="21"/>
          <w:szCs w:val="21"/>
        </w:rPr>
      </w:pPr>
      <w:r w:rsidRPr="003144B0">
        <w:rPr>
          <w:rFonts w:ascii="Helvetica" w:eastAsia="Times New Roman" w:hAnsi="Helvetica" w:cs="Helvetica"/>
          <w:color w:val="333333"/>
          <w:sz w:val="21"/>
          <w:szCs w:val="21"/>
        </w:rPr>
        <w:t xml:space="preserve">How will employees determine fairness of the pay structure? </w:t>
      </w:r>
    </w:p>
    <w:p w14:paraId="20438421" w14:textId="77777777" w:rsidR="003144B0" w:rsidRPr="003144B0" w:rsidRDefault="003144B0" w:rsidP="003144B0">
      <w:pPr>
        <w:numPr>
          <w:ilvl w:val="0"/>
          <w:numId w:val="5"/>
        </w:numPr>
        <w:spacing w:after="0" w:line="240" w:lineRule="auto"/>
        <w:ind w:left="0"/>
        <w:rPr>
          <w:rFonts w:ascii="Helvetica" w:eastAsia="Times New Roman" w:hAnsi="Helvetica" w:cs="Helvetica"/>
          <w:color w:val="333333"/>
          <w:sz w:val="21"/>
          <w:szCs w:val="21"/>
        </w:rPr>
      </w:pPr>
      <w:r w:rsidRPr="003144B0">
        <w:rPr>
          <w:rFonts w:ascii="Helvetica" w:eastAsia="Times New Roman" w:hAnsi="Helvetica" w:cs="Helvetica"/>
          <w:color w:val="333333"/>
          <w:sz w:val="21"/>
          <w:szCs w:val="21"/>
        </w:rPr>
        <w:t xml:space="preserve">Why do you believe the employees will be satisfied with this plan? Justify the compensation strategy that supports the motivational needs of knowledge workers. </w:t>
      </w:r>
    </w:p>
    <w:p w14:paraId="593099D6" w14:textId="77777777" w:rsidR="003144B0" w:rsidRPr="003144B0" w:rsidRDefault="003144B0" w:rsidP="003144B0">
      <w:pPr>
        <w:numPr>
          <w:ilvl w:val="0"/>
          <w:numId w:val="5"/>
        </w:numPr>
        <w:spacing w:after="0" w:line="240" w:lineRule="auto"/>
        <w:ind w:left="0"/>
        <w:rPr>
          <w:rFonts w:ascii="Helvetica" w:eastAsia="Times New Roman" w:hAnsi="Helvetica" w:cs="Helvetica"/>
          <w:color w:val="333333"/>
          <w:sz w:val="21"/>
          <w:szCs w:val="21"/>
        </w:rPr>
      </w:pPr>
      <w:r w:rsidRPr="003144B0">
        <w:rPr>
          <w:rFonts w:ascii="Helvetica" w:eastAsia="Times New Roman" w:hAnsi="Helvetica" w:cs="Helvetica"/>
          <w:color w:val="333333"/>
          <w:sz w:val="21"/>
          <w:szCs w:val="21"/>
        </w:rPr>
        <w:t xml:space="preserve">What is your communication plan for rolling out the new program? </w:t>
      </w:r>
    </w:p>
    <w:p w14:paraId="388A9B42" w14:textId="77777777" w:rsidR="003144B0" w:rsidRPr="003144B0" w:rsidRDefault="003144B0" w:rsidP="003144B0">
      <w:pPr>
        <w:spacing w:after="0" w:line="240" w:lineRule="auto"/>
        <w:rPr>
          <w:rFonts w:ascii="Helvetica" w:eastAsia="Times New Roman" w:hAnsi="Helvetica" w:cs="Helvetica"/>
          <w:color w:val="333333"/>
          <w:sz w:val="21"/>
          <w:szCs w:val="21"/>
        </w:rPr>
      </w:pPr>
      <w:r w:rsidRPr="003144B0">
        <w:rPr>
          <w:rFonts w:ascii="Helvetica" w:eastAsia="Times New Roman" w:hAnsi="Helvetica" w:cs="Helvetica"/>
          <w:color w:val="333333"/>
          <w:sz w:val="21"/>
          <w:szCs w:val="21"/>
        </w:rPr>
        <w:t xml:space="preserve">If you have never created a PowerPoint or need to brush up on your skills, click </w:t>
      </w:r>
      <w:hyperlink r:id="rId9" w:tgtFrame="_blank" w:history="1">
        <w:r w:rsidRPr="003144B0">
          <w:rPr>
            <w:rFonts w:ascii="Helvetica" w:eastAsia="Times New Roman" w:hAnsi="Helvetica" w:cs="Helvetica"/>
            <w:b/>
            <w:bCs/>
            <w:color w:val="002855"/>
            <w:sz w:val="21"/>
            <w:szCs w:val="21"/>
            <w:bdr w:val="none" w:sz="0" w:space="0" w:color="auto" w:frame="1"/>
          </w:rPr>
          <w:t>here</w:t>
        </w:r>
      </w:hyperlink>
      <w:r w:rsidRPr="003144B0">
        <w:rPr>
          <w:rFonts w:ascii="Helvetica" w:eastAsia="Times New Roman" w:hAnsi="Helvetica" w:cs="Helvetica"/>
          <w:color w:val="333333"/>
          <w:sz w:val="21"/>
          <w:szCs w:val="21"/>
        </w:rPr>
        <w:t xml:space="preserve"> to watch a how-to presentation created by the CSU Writing Center. To learn PowerPoint best practices, click </w:t>
      </w:r>
      <w:hyperlink r:id="rId10" w:tgtFrame="_blank" w:history="1">
        <w:r w:rsidRPr="003144B0">
          <w:rPr>
            <w:rFonts w:ascii="Helvetica" w:eastAsia="Times New Roman" w:hAnsi="Helvetica" w:cs="Helvetica"/>
            <w:b/>
            <w:bCs/>
            <w:color w:val="002855"/>
            <w:sz w:val="21"/>
            <w:szCs w:val="21"/>
            <w:bdr w:val="none" w:sz="0" w:space="0" w:color="auto" w:frame="1"/>
          </w:rPr>
          <w:t>here</w:t>
        </w:r>
      </w:hyperlink>
      <w:r w:rsidRPr="003144B0">
        <w:rPr>
          <w:rFonts w:ascii="Helvetica" w:eastAsia="Times New Roman" w:hAnsi="Helvetica" w:cs="Helvetica"/>
          <w:color w:val="333333"/>
          <w:sz w:val="21"/>
          <w:szCs w:val="21"/>
        </w:rPr>
        <w:t xml:space="preserve"> to watch another presentation created by the CSU Writing Center. </w:t>
      </w:r>
    </w:p>
    <w:p w14:paraId="625C1067" w14:textId="77777777" w:rsidR="003144B0" w:rsidRDefault="003144B0" w:rsidP="003144B0">
      <w:pPr>
        <w:rPr>
          <w:rFonts w:ascii="Helvetica" w:hAnsi="Helvetica" w:cs="Helvetica"/>
          <w:color w:val="000000"/>
          <w:sz w:val="20"/>
          <w:szCs w:val="20"/>
        </w:rPr>
      </w:pPr>
    </w:p>
    <w:p w14:paraId="4C59A779" w14:textId="77777777" w:rsidR="003144B0" w:rsidRDefault="003144B0" w:rsidP="003144B0">
      <w:pPr>
        <w:rPr>
          <w:rFonts w:ascii="Helvetica" w:hAnsi="Helvetica" w:cs="Helvetica"/>
          <w:color w:val="000000"/>
          <w:sz w:val="20"/>
          <w:szCs w:val="20"/>
        </w:rPr>
      </w:pPr>
    </w:p>
    <w:p w14:paraId="45543F26" w14:textId="3F29304A" w:rsidR="003144B0" w:rsidRPr="003144B0" w:rsidRDefault="003144B0" w:rsidP="003144B0">
      <w:pPr>
        <w:rPr>
          <w:rFonts w:ascii="Helvetica" w:hAnsi="Helvetica" w:cs="Helvetica"/>
          <w:color w:val="000000"/>
          <w:sz w:val="32"/>
          <w:szCs w:val="32"/>
        </w:rPr>
      </w:pPr>
      <w:r w:rsidRPr="003144B0">
        <w:rPr>
          <w:rFonts w:ascii="Helvetica" w:hAnsi="Helvetica" w:cs="Helvetica"/>
          <w:color w:val="000000"/>
          <w:sz w:val="32"/>
          <w:szCs w:val="32"/>
        </w:rPr>
        <w:t xml:space="preserve">Unit Lesson </w:t>
      </w:r>
      <w:proofErr w:type="gramStart"/>
      <w:r w:rsidRPr="003144B0">
        <w:rPr>
          <w:rFonts w:ascii="Helvetica" w:hAnsi="Helvetica" w:cs="Helvetica"/>
          <w:color w:val="000000"/>
          <w:sz w:val="32"/>
          <w:szCs w:val="32"/>
        </w:rPr>
        <w:t>3  READING</w:t>
      </w:r>
      <w:proofErr w:type="gramEnd"/>
      <w:r w:rsidRPr="003144B0">
        <w:rPr>
          <w:rFonts w:ascii="Helvetica" w:hAnsi="Helvetica" w:cs="Helvetica"/>
          <w:color w:val="000000"/>
          <w:sz w:val="32"/>
          <w:szCs w:val="32"/>
        </w:rPr>
        <w:t xml:space="preserve"> MATERIAL IS BELOW</w:t>
      </w:r>
    </w:p>
    <w:p w14:paraId="4C077816" w14:textId="77777777" w:rsidR="003144B0" w:rsidRPr="003144B0" w:rsidRDefault="003144B0" w:rsidP="003144B0">
      <w:pPr>
        <w:rPr>
          <w:rFonts w:ascii="Helvetica" w:hAnsi="Helvetica" w:cs="Helvetica"/>
          <w:color w:val="000000"/>
          <w:sz w:val="20"/>
          <w:szCs w:val="20"/>
        </w:rPr>
      </w:pPr>
      <w:r w:rsidRPr="003144B0">
        <w:rPr>
          <w:rFonts w:ascii="Helvetica" w:hAnsi="Helvetica" w:cs="Helvetica"/>
          <w:color w:val="000000"/>
          <w:sz w:val="20"/>
          <w:szCs w:val="20"/>
        </w:rPr>
        <w:t xml:space="preserve"> </w:t>
      </w:r>
    </w:p>
    <w:p w14:paraId="5596B151"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In order to access the following resource, click the link below. </w:t>
      </w:r>
    </w:p>
    <w:p w14:paraId="111D5BA7"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2E51C65F"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lastRenderedPageBreak/>
        <w:t xml:space="preserve">UNIT IV STUDY GUIDE Appraising Compensation Strategies </w:t>
      </w:r>
    </w:p>
    <w:p w14:paraId="123406E7" w14:textId="77777777" w:rsidR="003144B0" w:rsidRPr="003144B0" w:rsidRDefault="003144B0" w:rsidP="003144B0">
      <w:pPr>
        <w:rPr>
          <w:rFonts w:ascii="Aldhabi" w:hAnsi="Aldhabi" w:cs="Aldhabi" w:hint="cs"/>
          <w:b/>
          <w:color w:val="000000"/>
          <w:sz w:val="24"/>
          <w:szCs w:val="24"/>
        </w:rPr>
      </w:pPr>
    </w:p>
    <w:p w14:paraId="70F97DF8"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2E6279D2"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12E84854"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MHR 6451, Human Resource Management Methods 2 </w:t>
      </w:r>
    </w:p>
    <w:p w14:paraId="742B8C97"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College of Business – CSU. (2016, September 1). Compensation strategies [Video file]. Retrieved from https://youtu.be/U2wjvBigs7w </w:t>
      </w:r>
    </w:p>
    <w:p w14:paraId="45BD6109"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0D406A91"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To view the transcripts for this video, click here. </w:t>
      </w:r>
    </w:p>
    <w:p w14:paraId="7B44FD69"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20BAA2F4"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Compensation Strategies: Managing Employee Retention &amp; Engagement </w:t>
      </w:r>
    </w:p>
    <w:p w14:paraId="330A1D38"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260FB820"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John Dewey, a famous 20th century American philosopher and educator, advocated that if one could establish his or her calling in life and be able to get hold of the chance to do it, it would be the source of contentment (Dewey, 1916). This may be the equivalent of the slogan that is so often used today: Do what you love; love what you do. </w:t>
      </w:r>
    </w:p>
    <w:p w14:paraId="441761BE"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500D7FC1"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There is a deep wisdom embedded in Dewey’s words that touches all who seek to discover their own strengths and find meaning and fulfillment in their work. Modern-day organizations are making efforts to hold on to employees who are comfortable being knowledge workers in careers that are without boundaries, moving from employer to employer and collecting valuable skills and competencies that, in turn, enrich and strengthen their personal brand (Arthur &amp; Rousseau, 1996). Gone are the days of job security. </w:t>
      </w:r>
    </w:p>
    <w:p w14:paraId="30EADEC3"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3D70BBE7"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Employers realize that keeping good employees is a challenge. Even in an economy of high unemployment, there is still attrition. The knowledge workers carry their expertise with them. They can relocate anywhere, they love to learn, and they know that the more they share knowledge, the more they learn; knowledge is the means of their production. Due to technological advances, competition for talent is on a global scale. The cost of </w:t>
      </w:r>
      <w:r w:rsidRPr="003144B0">
        <w:rPr>
          <w:rFonts w:ascii="Aldhabi" w:hAnsi="Aldhabi" w:cs="Aldhabi" w:hint="cs"/>
          <w:b/>
          <w:color w:val="000000"/>
          <w:sz w:val="24"/>
          <w:szCs w:val="24"/>
        </w:rPr>
        <w:lastRenderedPageBreak/>
        <w:t xml:space="preserve">recruiting, selecting, training, appraising, and developing employees has become a huge investment that now drives the demand for retention and engagement tactics to be incorporated into compensation strategies (Drucker, 1999). There is a lot of pressure for an organization to get their compensation strategy right; therefore, let’s start the unit with a brief review of the basics of today’s compensation. </w:t>
      </w:r>
    </w:p>
    <w:p w14:paraId="28E55753"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0153CCCB"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The two main components of compensation are direct and indirect financial payments. A time-based direct financial payment is hourly or daily wages paid to production or clerical workers. Managers are salaried and are paid annually, monthly, biweekly, or weekly. The other direct payment options can be performance-based pay, piece-rate pay for production workers, or commission-based pay on sales or bonuses. Indirect financial payments consist of noncash benefits, such as insurance and vacation paid by the employer (Milkovich, Newman, &amp; Gerhart, 2014). </w:t>
      </w:r>
    </w:p>
    <w:p w14:paraId="06E43FB9"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7D6D439E"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As with all strategic plans, compensation rewards must be aligned with the organization’s strategic aspirations. Give the employees the compensation necessary for them to use their knowledge, skills, and attitudes to excel in their opportunities and to achieve corporate goals. If an element of inequitable compensation is in the air, the imbalance affects the employees. The 2016 Compensation Best Practices Report tells us that 73% of employers believe that they pay their workers fairly, while only 36% of employees agree (as cited in Miller, 2016a). It is critical to design structures that reward aptitude and results, and it is even more essential to effectively communicate the solid compensation philosophy to all employees— especially to those employees who may perceive there to be inequality in relation to their associates, industry peers, or even the tycoons in the executive C-suite who are shoveling in the money (Miller, 2016a). </w:t>
      </w:r>
    </w:p>
    <w:p w14:paraId="63C7FE91"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0A7DF425"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Simply sharing the compensation philosophy and educating employees on procedures establishes open communication. For instance, explaining the data sets used to benchmark positions; explaining how you know the data is current; defining salary structures, such as ranges and grades; and explaining where employees are among those ranges are all helpful tactics. Approximately 82% of employees disclosed in the survey that they would be satisfied, even if their pay was below market value, if their employer provided open and direct communication when presenting the reasons. Employers need to provide management with the tools to have these conversations or enlist the human resources community in providing information sessions in the workforce; each session will prove to be a successful, powerful, trust-building engagement tool (Miller, 2016a).  </w:t>
      </w:r>
    </w:p>
    <w:p w14:paraId="1D0BDF66"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6B86091E"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Compensation Strategies &amp; Employee Motivation </w:t>
      </w:r>
    </w:p>
    <w:p w14:paraId="1018C587"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lastRenderedPageBreak/>
        <w:t xml:space="preserve"> </w:t>
      </w:r>
    </w:p>
    <w:p w14:paraId="215E88D0"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John Stacey Adams, a behavioral psychologist, created the equity theory of motivation, which can be applied to most situations on the job. It argues that wages and environment are not enough to motivate the workforce. At the heart of equity theory is perceived fairness. In your Unit IV Discussion Board video, you will have the opportunity to observe (if you have not already) the behavior of capuchin monkeys and their perceptions of </w:t>
      </w:r>
    </w:p>
    <w:p w14:paraId="42B352F4" w14:textId="77777777" w:rsidR="003144B0" w:rsidRPr="003144B0" w:rsidRDefault="003144B0" w:rsidP="003144B0">
      <w:pPr>
        <w:rPr>
          <w:rFonts w:ascii="Aldhabi" w:hAnsi="Aldhabi" w:cs="Aldhabi" w:hint="cs"/>
          <w:b/>
          <w:color w:val="000000"/>
          <w:sz w:val="24"/>
          <w:szCs w:val="24"/>
        </w:rPr>
      </w:pPr>
    </w:p>
    <w:p w14:paraId="748227BD"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403B7A57"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44D13F09"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MHR 6451, Human Resource Management Methods 3 </w:t>
      </w:r>
    </w:p>
    <w:p w14:paraId="2A6C1789"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fairness followed by their reactions to those perceptions of fairness. Once you have viewed this video, compare your own reactions when faced with perceptions of unfairness in the workplace: If you compared yourself to your coworker and saw that she got a grape and you received a cucumber for doing the same task, how would you feel? Among humans, the equity theory of motivation suggests that people are motivated to sustain equilibrium between what they perceive as their contributions and rewards. If the person perceives disequilibrium, a tension will develop that motivates the person to reduce that tension (“Adams’ Equity Theory,” n.d.; Milkovich et al., 2014). </w:t>
      </w:r>
    </w:p>
    <w:p w14:paraId="0FCF9F64"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2B2270C8"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A practical example might be if an employee is motivated and perceives that he is being paid well for his performance, but he then discovers that everyone in the department—even those who are underperforming— receives the same pay due to the performance increase. This discovery causes a tension or imbalance and motivates the employee to speak with his supervisor. As a result, he finds that the supervisor agrees with him that performance-based pay must be fair and consistent; therefore, she obtains a promotion for him! He once again maintains balance. This scenario could also play out as follows: His supervisor says he has some excellent points; however, there is nothing she can do. His tension remains, the employee becomes a toxic influence on the environment (cucumbers are flying everywhere), and he decides to leave the organization for a better opportunity—or he is fired. Let’s hope he gets a promotion! </w:t>
      </w:r>
    </w:p>
    <w:p w14:paraId="634D7DFF"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2EE79B92"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Legal Considerations Altering Compensation Strategies </w:t>
      </w:r>
    </w:p>
    <w:p w14:paraId="0647F427"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116E33EB"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lastRenderedPageBreak/>
        <w:t xml:space="preserve">Legal considerations also influence a pay plan’s design. For example, on May 18, 2016, the Fair Standards Labor Act (FSLA) that governs minimum wage and overtime pay made a big change involving overtime pay (U.S. Department of Labor, n.d.). There is a short video providing an overview of the new law, and this website also provides the details and the formula for computing what employees are exempt from in the FSLA, especially regarding overtime pay: </w:t>
      </w:r>
    </w:p>
    <w:p w14:paraId="4BCA773E"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314D5A32"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U.S. Department of Labor. (n.d.). The overtime </w:t>
      </w:r>
      <w:proofErr w:type="gramStart"/>
      <w:r w:rsidRPr="003144B0">
        <w:rPr>
          <w:rFonts w:ascii="Aldhabi" w:hAnsi="Aldhabi" w:cs="Aldhabi" w:hint="cs"/>
          <w:b/>
          <w:color w:val="000000"/>
          <w:sz w:val="24"/>
          <w:szCs w:val="24"/>
        </w:rPr>
        <w:t>rule</w:t>
      </w:r>
      <w:proofErr w:type="gramEnd"/>
      <w:r w:rsidRPr="003144B0">
        <w:rPr>
          <w:rFonts w:ascii="Aldhabi" w:hAnsi="Aldhabi" w:cs="Aldhabi" w:hint="cs"/>
          <w:b/>
          <w:color w:val="000000"/>
          <w:sz w:val="24"/>
          <w:szCs w:val="24"/>
        </w:rPr>
        <w:t xml:space="preserve">. Retrieved from https://www.dol.gov/featured/overtime/ </w:t>
      </w:r>
    </w:p>
    <w:p w14:paraId="7F89ED60"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69648B6F"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To view the transcript of the video above, click here. </w:t>
      </w:r>
    </w:p>
    <w:p w14:paraId="5146226D"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0AA3882B"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As a result of this change, there may be changes to employee benefits such as sick time and vacation accrual, long-term disability, or life insurance. There is no doubt that many employees will feel they are being demoted; it may be the first time they will need to punch a time clock. However, employers and human resources have known about this change for some time, and their careful planning and communication can be used as an opportunity to build trust while educating the employees on why this change is happening (Miller, 2016b). Please read the article titled “Talk Pays When Talking Pay,” which is listed in the required reading section of this unit; it provides guidance for employers when they are having those pay conversations with employees. </w:t>
      </w:r>
    </w:p>
    <w:p w14:paraId="3EAB818F"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54961DAB"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An employer’s thoughts must be led by regulatory governance when making compensation decisions. A review of federal, state, and industry regulations needs to be considered for any limitations or guidance. Even when planning compensation restructuring, compensation-related laws must be considered early on. Below are some of the laws enforced by the Equal Employment Opportunity Commission (EEOC) and the U.S. Department of Labor (DOL), and these must be considered by employers. These are not required readings for this unit but </w:t>
      </w:r>
      <w:proofErr w:type="gramStart"/>
      <w:r w:rsidRPr="003144B0">
        <w:rPr>
          <w:rFonts w:ascii="Aldhabi" w:hAnsi="Aldhabi" w:cs="Aldhabi" w:hint="cs"/>
          <w:b/>
          <w:color w:val="000000"/>
          <w:sz w:val="24"/>
          <w:szCs w:val="24"/>
        </w:rPr>
        <w:t>are helpful in understanding</w:t>
      </w:r>
      <w:proofErr w:type="gramEnd"/>
      <w:r w:rsidRPr="003144B0">
        <w:rPr>
          <w:rFonts w:ascii="Aldhabi" w:hAnsi="Aldhabi" w:cs="Aldhabi" w:hint="cs"/>
          <w:b/>
          <w:color w:val="000000"/>
          <w:sz w:val="24"/>
          <w:szCs w:val="24"/>
        </w:rPr>
        <w:t xml:space="preserve"> this topic: </w:t>
      </w:r>
    </w:p>
    <w:p w14:paraId="1DFD1758"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117545DE"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Compliance and Assistance - Wages and the Fair Labor Standards Act (FLSA) </w:t>
      </w:r>
      <w:r w:rsidRPr="003144B0">
        <w:rPr>
          <w:rFonts w:ascii="Aldhabi" w:hAnsi="Aldhabi" w:cs="Aldhabi" w:hint="cs"/>
          <w:b/>
          <w:color w:val="000000"/>
          <w:sz w:val="24"/>
          <w:szCs w:val="24"/>
        </w:rPr>
        <w:t xml:space="preserve"> Equal Pay Act of 1963 and Lilly Ledbetter Fair Pay Act of 2009 </w:t>
      </w:r>
      <w:r w:rsidRPr="003144B0">
        <w:rPr>
          <w:rFonts w:ascii="Aldhabi" w:hAnsi="Aldhabi" w:cs="Aldhabi" w:hint="cs"/>
          <w:b/>
          <w:color w:val="000000"/>
          <w:sz w:val="24"/>
          <w:szCs w:val="24"/>
        </w:rPr>
        <w:t xml:space="preserve"> Title VII of the Civil Rights Act of 1964 </w:t>
      </w:r>
      <w:r w:rsidRPr="003144B0">
        <w:rPr>
          <w:rFonts w:ascii="Aldhabi" w:hAnsi="Aldhabi" w:cs="Aldhabi" w:hint="cs"/>
          <w:b/>
          <w:color w:val="000000"/>
          <w:sz w:val="24"/>
          <w:szCs w:val="24"/>
        </w:rPr>
        <w:t xml:space="preserve"> Executive Order 11246—Equal Employment Opportunity </w:t>
      </w:r>
      <w:r w:rsidRPr="003144B0">
        <w:rPr>
          <w:rFonts w:ascii="Aldhabi" w:hAnsi="Aldhabi" w:cs="Aldhabi" w:hint="cs"/>
          <w:b/>
          <w:color w:val="000000"/>
          <w:sz w:val="24"/>
          <w:szCs w:val="24"/>
        </w:rPr>
        <w:t xml:space="preserve"> Davis-Bacon and Related Acts </w:t>
      </w:r>
      <w:r w:rsidRPr="003144B0">
        <w:rPr>
          <w:rFonts w:ascii="Aldhabi" w:hAnsi="Aldhabi" w:cs="Aldhabi" w:hint="cs"/>
          <w:b/>
          <w:color w:val="000000"/>
          <w:sz w:val="24"/>
          <w:szCs w:val="24"/>
        </w:rPr>
        <w:t xml:space="preserve"> McNamara-O’Hara Service Contract Act (SCA) </w:t>
      </w:r>
      <w:r w:rsidRPr="003144B0">
        <w:rPr>
          <w:rFonts w:ascii="Aldhabi" w:hAnsi="Aldhabi" w:cs="Aldhabi" w:hint="cs"/>
          <w:b/>
          <w:color w:val="000000"/>
          <w:sz w:val="24"/>
          <w:szCs w:val="24"/>
        </w:rPr>
        <w:t xml:space="preserve"> Overview of USERRA  </w:t>
      </w:r>
    </w:p>
    <w:p w14:paraId="5B060048"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lastRenderedPageBreak/>
        <w:t xml:space="preserve"> </w:t>
      </w:r>
    </w:p>
    <w:p w14:paraId="1045B18F"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Two approaches that employers use for setting pay rates are the market-competitive pay plan and the job evaluation method. The purpose of these methods and the steps involved could be defined for employees to gain a better understanding and to be better prepared when changes do occur. For example, ranking, job classification, point method, and factor comparison could be explained in the job evaluation method. How </w:t>
      </w:r>
    </w:p>
    <w:p w14:paraId="5CB987E6" w14:textId="77777777" w:rsidR="003144B0" w:rsidRPr="003144B0" w:rsidRDefault="003144B0" w:rsidP="003144B0">
      <w:pPr>
        <w:rPr>
          <w:rFonts w:ascii="Aldhabi" w:hAnsi="Aldhabi" w:cs="Aldhabi" w:hint="cs"/>
          <w:b/>
          <w:color w:val="000000"/>
          <w:sz w:val="24"/>
          <w:szCs w:val="24"/>
        </w:rPr>
      </w:pPr>
    </w:p>
    <w:p w14:paraId="549F714C"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03CA5C49"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054310AC"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MHR 6451, Human Resource Management Methods 4 </w:t>
      </w:r>
    </w:p>
    <w:p w14:paraId="78E35A24"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managerial and professional jobs are priced is a separate issue and does not use job evaluation but, rather, considers the job’s complexity, the employer’s ability to pay, and the competition for talent (Miller, 2016b). </w:t>
      </w:r>
    </w:p>
    <w:p w14:paraId="4506181B"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15D7958F"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The six important topics in contemporary compensation include the following components: competency-based pay, </w:t>
      </w:r>
      <w:proofErr w:type="spellStart"/>
      <w:r w:rsidRPr="003144B0">
        <w:rPr>
          <w:rFonts w:ascii="Aldhabi" w:hAnsi="Aldhabi" w:cs="Aldhabi" w:hint="cs"/>
          <w:b/>
          <w:color w:val="000000"/>
          <w:sz w:val="24"/>
          <w:szCs w:val="24"/>
        </w:rPr>
        <w:t>broadbanding</w:t>
      </w:r>
      <w:proofErr w:type="spellEnd"/>
      <w:r w:rsidRPr="003144B0">
        <w:rPr>
          <w:rFonts w:ascii="Aldhabi" w:hAnsi="Aldhabi" w:cs="Aldhabi" w:hint="cs"/>
          <w:b/>
          <w:color w:val="000000"/>
          <w:sz w:val="24"/>
          <w:szCs w:val="24"/>
        </w:rPr>
        <w:t xml:space="preserve">, talent management, comparable worth, broad oversight of executive pay, and the concept of total rewards. Each one of these topics is easily integrated into a new compensation environment. When an employer starts paying employees for the competencies that the job requires rather than paying employees for the job duties, the employer becomes more attractive to the knowledge worker. As jobs change due to new technologies, employees add new skills to their career toolbox. When positions are eliminated, employees can easily move into newly created positions based on their skills and those required of the new job. </w:t>
      </w:r>
      <w:proofErr w:type="spellStart"/>
      <w:r w:rsidRPr="003144B0">
        <w:rPr>
          <w:rFonts w:ascii="Aldhabi" w:hAnsi="Aldhabi" w:cs="Aldhabi" w:hint="cs"/>
          <w:b/>
          <w:color w:val="000000"/>
          <w:sz w:val="24"/>
          <w:szCs w:val="24"/>
        </w:rPr>
        <w:t>Broadbanding</w:t>
      </w:r>
      <w:proofErr w:type="spellEnd"/>
      <w:r w:rsidRPr="003144B0">
        <w:rPr>
          <w:rFonts w:ascii="Aldhabi" w:hAnsi="Aldhabi" w:cs="Aldhabi" w:hint="cs"/>
          <w:b/>
          <w:color w:val="000000"/>
          <w:sz w:val="24"/>
          <w:szCs w:val="24"/>
        </w:rPr>
        <w:t xml:space="preserve"> provides employees with a wide road to travel on from job to job, and it facilitates </w:t>
      </w:r>
      <w:proofErr w:type="spellStart"/>
      <w:r w:rsidRPr="003144B0">
        <w:rPr>
          <w:rFonts w:ascii="Aldhabi" w:hAnsi="Aldhabi" w:cs="Aldhabi" w:hint="cs"/>
          <w:b/>
          <w:color w:val="000000"/>
          <w:sz w:val="24"/>
          <w:szCs w:val="24"/>
        </w:rPr>
        <w:t>highperformance</w:t>
      </w:r>
      <w:proofErr w:type="spellEnd"/>
      <w:r w:rsidRPr="003144B0">
        <w:rPr>
          <w:rFonts w:ascii="Aldhabi" w:hAnsi="Aldhabi" w:cs="Aldhabi" w:hint="cs"/>
          <w:b/>
          <w:color w:val="000000"/>
          <w:sz w:val="24"/>
          <w:szCs w:val="24"/>
        </w:rPr>
        <w:t xml:space="preserve"> management systems that are team- based. Total rewards packages are being refined even more by corporations seeking to please employees in different generational categories. Please read the article titled “Customize Benefits to Suit Needs of Different Generations,” and watch the video about what MillerCoors has done to customize their total rewards package with input from their employees. (Both resources are listed in the required reading for </w:t>
      </w:r>
      <w:bookmarkStart w:id="0" w:name="_GoBack"/>
      <w:bookmarkEnd w:id="0"/>
      <w:r w:rsidRPr="003144B0">
        <w:rPr>
          <w:rFonts w:ascii="Aldhabi" w:hAnsi="Aldhabi" w:cs="Aldhabi" w:hint="cs"/>
          <w:b/>
          <w:color w:val="000000"/>
          <w:sz w:val="24"/>
          <w:szCs w:val="24"/>
        </w:rPr>
        <w:t xml:space="preserve">this unit.) </w:t>
      </w:r>
    </w:p>
    <w:p w14:paraId="0A9148F3"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02A83606"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Men and women should be paid equally for doing jobs that are comparable. If there is a gender gap in pay, it must be seen and addressed. The Dodd-Frank Law of 2010 gives the board of directors an oversight of executive pay; they are using advisors and are encouraged to exercise diligence in creating executive pay plans. Total rewards now include redesigning more challenging jobs and recognition programs. Aligning total rewards (also </w:t>
      </w:r>
      <w:r w:rsidRPr="003144B0">
        <w:rPr>
          <w:rFonts w:ascii="Aldhabi" w:hAnsi="Aldhabi" w:cs="Aldhabi" w:hint="cs"/>
          <w:b/>
          <w:color w:val="000000"/>
          <w:sz w:val="24"/>
          <w:szCs w:val="24"/>
        </w:rPr>
        <w:lastRenderedPageBreak/>
        <w:t xml:space="preserve">known as returns) with strategy means that wages, incentives, and benefits are included into a compensation package that results in producing employee behaviors that are required to accomplish the organization’s competitive strategy (Milkovich et al., 2014).  </w:t>
      </w:r>
    </w:p>
    <w:p w14:paraId="0A2D29F2"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01AEF160"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2F6EACC9"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References </w:t>
      </w:r>
    </w:p>
    <w:p w14:paraId="43E75917"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1D51A88A"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Adams’ equity theory: Balancing employee inputs and outputs. (n.d.). Retrieved from https://www.mindtools.com/pages/article/newLDR_96.htm </w:t>
      </w:r>
    </w:p>
    <w:p w14:paraId="60BB8029"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1430906B"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Arthur, M. B., &amp; Rousseau, D. M. (1996). The boundaryless career. New York, NY: Oxford Press. </w:t>
      </w:r>
    </w:p>
    <w:p w14:paraId="26212573"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60A678AE"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Dewey, J. (1916.). Democracy and education: An introduction to the philosophy of education. New York, NY: Macmillan. </w:t>
      </w:r>
    </w:p>
    <w:p w14:paraId="6D70851F"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10AFF545"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Drucker, P. F. (1999). Management challenges for the 21st century. New York, NY: Harper Business. </w:t>
      </w:r>
    </w:p>
    <w:p w14:paraId="4961070C"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2A582CEE"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Milkovich, G. T., Newman, J. M., &amp; Gerhart, B. (2014). Compensation (11th ed.). New York, NY: </w:t>
      </w:r>
      <w:proofErr w:type="spellStart"/>
      <w:r w:rsidRPr="003144B0">
        <w:rPr>
          <w:rFonts w:ascii="Aldhabi" w:hAnsi="Aldhabi" w:cs="Aldhabi" w:hint="cs"/>
          <w:b/>
          <w:color w:val="000000"/>
          <w:sz w:val="24"/>
          <w:szCs w:val="24"/>
        </w:rPr>
        <w:t>McGrawHill</w:t>
      </w:r>
      <w:proofErr w:type="spellEnd"/>
      <w:r w:rsidRPr="003144B0">
        <w:rPr>
          <w:rFonts w:ascii="Aldhabi" w:hAnsi="Aldhabi" w:cs="Aldhabi" w:hint="cs"/>
          <w:b/>
          <w:color w:val="000000"/>
          <w:sz w:val="24"/>
          <w:szCs w:val="24"/>
        </w:rPr>
        <w:t xml:space="preserve">/Irwin. </w:t>
      </w:r>
    </w:p>
    <w:p w14:paraId="13C06A93"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57C54126"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Miller, S. (2016a). Bridge the ‘comp chasm’ with trust, transparency: Employers think they pay their workers fairly; most employees don't agree. Retrieved from https://www.shrm.org/hrdisciplines/compensation/articles/pages/bridge-compchasm.aspx#sthash.qiSJRSGe.dpuf </w:t>
      </w:r>
    </w:p>
    <w:p w14:paraId="45612E0A"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3C300A4D"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Miller, S. (2016b). How to counter employee perceptions of income inequality. Retrieved from https://www.shrm.org/publications/hrmagazine/editorialcontent/2016/0516/pages/0516-faircompensation.aspx#sthash.p2kyztZm.dpuf </w:t>
      </w:r>
    </w:p>
    <w:p w14:paraId="1A080F8E" w14:textId="77777777" w:rsidR="003144B0"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t xml:space="preserve"> </w:t>
      </w:r>
    </w:p>
    <w:p w14:paraId="55C98B8F" w14:textId="42497D6C" w:rsidR="00BF65B8" w:rsidRPr="003144B0" w:rsidRDefault="003144B0" w:rsidP="003144B0">
      <w:pPr>
        <w:rPr>
          <w:rFonts w:ascii="Aldhabi" w:hAnsi="Aldhabi" w:cs="Aldhabi" w:hint="cs"/>
          <w:b/>
          <w:color w:val="000000"/>
          <w:sz w:val="24"/>
          <w:szCs w:val="24"/>
        </w:rPr>
      </w:pPr>
      <w:r w:rsidRPr="003144B0">
        <w:rPr>
          <w:rFonts w:ascii="Aldhabi" w:hAnsi="Aldhabi" w:cs="Aldhabi" w:hint="cs"/>
          <w:b/>
          <w:color w:val="000000"/>
          <w:sz w:val="24"/>
          <w:szCs w:val="24"/>
        </w:rPr>
        <w:lastRenderedPageBreak/>
        <w:t xml:space="preserve">U.S. Department of Labor. (n.d.). The overtime </w:t>
      </w:r>
      <w:proofErr w:type="gramStart"/>
      <w:r w:rsidRPr="003144B0">
        <w:rPr>
          <w:rFonts w:ascii="Aldhabi" w:hAnsi="Aldhabi" w:cs="Aldhabi" w:hint="cs"/>
          <w:b/>
          <w:color w:val="000000"/>
          <w:sz w:val="24"/>
          <w:szCs w:val="24"/>
        </w:rPr>
        <w:t>rule</w:t>
      </w:r>
      <w:proofErr w:type="gramEnd"/>
      <w:r w:rsidRPr="003144B0">
        <w:rPr>
          <w:rFonts w:ascii="Aldhabi" w:hAnsi="Aldhabi" w:cs="Aldhabi" w:hint="cs"/>
          <w:b/>
          <w:color w:val="000000"/>
          <w:sz w:val="24"/>
          <w:szCs w:val="24"/>
        </w:rPr>
        <w:t>. Retrieved from https://www.dol.gov/featured/overtime/</w:t>
      </w:r>
    </w:p>
    <w:sectPr w:rsidR="00BF65B8" w:rsidRPr="003144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ldhabi">
    <w:charset w:val="B2"/>
    <w:family w:val="auto"/>
    <w:pitch w:val="variable"/>
    <w:sig w:usb0="80002007"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34B16"/>
    <w:multiLevelType w:val="multilevel"/>
    <w:tmpl w:val="C12424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47"/>
    <w:multiLevelType w:val="hybridMultilevel"/>
    <w:tmpl w:val="B4360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1E05BD"/>
    <w:multiLevelType w:val="hybridMultilevel"/>
    <w:tmpl w:val="874A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825825"/>
    <w:multiLevelType w:val="hybridMultilevel"/>
    <w:tmpl w:val="7458F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0B56DB"/>
    <w:multiLevelType w:val="multilevel"/>
    <w:tmpl w:val="C74AE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9CC"/>
    <w:rsid w:val="00057569"/>
    <w:rsid w:val="000845C7"/>
    <w:rsid w:val="000B5DC2"/>
    <w:rsid w:val="001319CC"/>
    <w:rsid w:val="001511E2"/>
    <w:rsid w:val="0015667A"/>
    <w:rsid w:val="00193120"/>
    <w:rsid w:val="00220E15"/>
    <w:rsid w:val="00257E0A"/>
    <w:rsid w:val="00273A81"/>
    <w:rsid w:val="002945FD"/>
    <w:rsid w:val="003144B0"/>
    <w:rsid w:val="00315581"/>
    <w:rsid w:val="00393455"/>
    <w:rsid w:val="003B52A4"/>
    <w:rsid w:val="003B530F"/>
    <w:rsid w:val="00444103"/>
    <w:rsid w:val="004675D4"/>
    <w:rsid w:val="00553267"/>
    <w:rsid w:val="00573839"/>
    <w:rsid w:val="005D2E08"/>
    <w:rsid w:val="00625E86"/>
    <w:rsid w:val="0067615C"/>
    <w:rsid w:val="00681CE6"/>
    <w:rsid w:val="006D6E4B"/>
    <w:rsid w:val="006F5403"/>
    <w:rsid w:val="007220F1"/>
    <w:rsid w:val="00731E37"/>
    <w:rsid w:val="00766A70"/>
    <w:rsid w:val="007A7873"/>
    <w:rsid w:val="007B3E13"/>
    <w:rsid w:val="007D069E"/>
    <w:rsid w:val="00881405"/>
    <w:rsid w:val="00890B4B"/>
    <w:rsid w:val="008C4731"/>
    <w:rsid w:val="0092484B"/>
    <w:rsid w:val="009549DC"/>
    <w:rsid w:val="00984A9B"/>
    <w:rsid w:val="00986A28"/>
    <w:rsid w:val="00997EDA"/>
    <w:rsid w:val="00A41AE2"/>
    <w:rsid w:val="00A44A0D"/>
    <w:rsid w:val="00A720C5"/>
    <w:rsid w:val="00A761CC"/>
    <w:rsid w:val="00B264A3"/>
    <w:rsid w:val="00BD3B35"/>
    <w:rsid w:val="00BF65B8"/>
    <w:rsid w:val="00CC10DC"/>
    <w:rsid w:val="00D0487A"/>
    <w:rsid w:val="00D11240"/>
    <w:rsid w:val="00D6615B"/>
    <w:rsid w:val="00D73063"/>
    <w:rsid w:val="00D92A62"/>
    <w:rsid w:val="00DE5FBA"/>
    <w:rsid w:val="00E029D9"/>
    <w:rsid w:val="00E90202"/>
    <w:rsid w:val="00F705FD"/>
    <w:rsid w:val="00F92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962E"/>
  <w15:chartTrackingRefBased/>
  <w15:docId w15:val="{64471824-4952-48B9-9A21-7A6F83474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7901295">
      <w:bodyDiv w:val="1"/>
      <w:marLeft w:val="0"/>
      <w:marRight w:val="0"/>
      <w:marTop w:val="0"/>
      <w:marBottom w:val="0"/>
      <w:divBdr>
        <w:top w:val="none" w:sz="0" w:space="0" w:color="auto"/>
        <w:left w:val="none" w:sz="0" w:space="0" w:color="auto"/>
        <w:bottom w:val="none" w:sz="0" w:space="0" w:color="auto"/>
        <w:right w:val="none" w:sz="0" w:space="0" w:color="auto"/>
      </w:divBdr>
      <w:divsChild>
        <w:div w:id="1864898605">
          <w:marLeft w:val="0"/>
          <w:marRight w:val="0"/>
          <w:marTop w:val="0"/>
          <w:marBottom w:val="0"/>
          <w:divBdr>
            <w:top w:val="none" w:sz="0" w:space="0" w:color="auto"/>
            <w:left w:val="none" w:sz="0" w:space="0" w:color="auto"/>
            <w:bottom w:val="none" w:sz="0" w:space="0" w:color="auto"/>
            <w:right w:val="none" w:sz="0" w:space="0" w:color="auto"/>
          </w:divBdr>
          <w:divsChild>
            <w:div w:id="210773321">
              <w:marLeft w:val="0"/>
              <w:marRight w:val="0"/>
              <w:marTop w:val="0"/>
              <w:marBottom w:val="0"/>
              <w:divBdr>
                <w:top w:val="none" w:sz="0" w:space="0" w:color="auto"/>
                <w:left w:val="none" w:sz="0" w:space="0" w:color="auto"/>
                <w:bottom w:val="none" w:sz="0" w:space="0" w:color="auto"/>
                <w:right w:val="none" w:sz="0" w:space="0" w:color="auto"/>
              </w:divBdr>
              <w:divsChild>
                <w:div w:id="1927684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tsmallbusiness.com/how-to-pay-employees/" TargetMode="External"/><Relationship Id="rId3" Type="http://schemas.openxmlformats.org/officeDocument/2006/relationships/settings" Target="settings.xml"/><Relationship Id="rId7" Type="http://schemas.openxmlformats.org/officeDocument/2006/relationships/hyperlink" Target="http://www.slideshare.net/FitSmallBusiness/how-to-design-a-compensation-plan-dave?ref=http://fitsmallbusiness.com/how-to-pay-employe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columbiasouthern.edu/webapps/blackboard/content/listContent.jsp?course_id=_84798_1&amp;content_id=_5268417_1&amp;mode=reset" TargetMode="External"/><Relationship Id="rId11" Type="http://schemas.openxmlformats.org/officeDocument/2006/relationships/fontTable" Target="fontTable.xml"/><Relationship Id="rId5" Type="http://schemas.openxmlformats.org/officeDocument/2006/relationships/hyperlink" Target="https://online.columbiasouthern.edu/webapps/assignment/uploadAssignment?content_id=_5268434_1&amp;course_id=_84798_1&amp;group_id=&amp;mode=view" TargetMode="External"/><Relationship Id="rId10" Type="http://schemas.openxmlformats.org/officeDocument/2006/relationships/hyperlink" Target="http://columbiasouthern.adobeconnect.com/powerpointbestpractices/" TargetMode="External"/><Relationship Id="rId4" Type="http://schemas.openxmlformats.org/officeDocument/2006/relationships/webSettings" Target="webSettings.xml"/><Relationship Id="rId9" Type="http://schemas.openxmlformats.org/officeDocument/2006/relationships/hyperlink" Target="https://www.youtube.com/watch?v=YyOBClOA72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2447</Words>
  <Characters>13953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2018-12-18T20:54:00Z</dcterms:created>
  <dcterms:modified xsi:type="dcterms:W3CDTF">2018-12-18T20:54:00Z</dcterms:modified>
</cp:coreProperties>
</file>